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9AD02">
      <w:pPr>
        <w:jc w:val="left"/>
        <w:rPr>
          <w:rFonts w:hint="eastAsia" w:ascii="黑体" w:hAnsi="黑体" w:eastAsia="黑体" w:cs="黑体"/>
          <w:bCs/>
          <w:sz w:val="28"/>
          <w:szCs w:val="28"/>
        </w:rPr>
      </w:pPr>
      <w:r>
        <w:rPr>
          <w:rFonts w:hint="eastAsia" w:ascii="黑体" w:hAnsi="黑体" w:eastAsia="黑体" w:cs="黑体"/>
          <w:bCs/>
          <w:sz w:val="28"/>
          <w:szCs w:val="28"/>
        </w:rPr>
        <w:t>附件：</w:t>
      </w:r>
    </w:p>
    <w:p w14:paraId="00DF1094">
      <w:pPr>
        <w:jc w:val="center"/>
        <w:rPr>
          <w:rFonts w:hint="eastAsia" w:ascii="宋体" w:hAnsi="宋体" w:cs="宋体"/>
          <w:bCs/>
          <w:sz w:val="20"/>
        </w:rPr>
      </w:pPr>
      <w:r>
        <w:rPr>
          <w:rFonts w:hint="eastAsia" w:ascii="黑体" w:hAnsi="黑体" w:eastAsia="黑体" w:cs="黑体"/>
          <w:bCs/>
          <w:sz w:val="30"/>
          <w:szCs w:val="30"/>
        </w:rPr>
        <w:t>中国煤炭地质总局资产评估项目公示表</w:t>
      </w:r>
    </w:p>
    <w:p w14:paraId="7B8F8152">
      <w:pPr>
        <w:rPr>
          <w:rFonts w:hint="eastAsia" w:ascii="宋体" w:hAnsi="宋体" w:eastAsia="宋体" w:cs="宋体"/>
          <w:bCs/>
          <w:sz w:val="20"/>
          <w:lang w:eastAsia="zh-CN"/>
        </w:rPr>
      </w:pPr>
      <w:r>
        <w:rPr>
          <w:rFonts w:hint="eastAsia" w:ascii="宋体" w:hAnsi="宋体" w:cs="宋体"/>
          <w:bCs/>
          <w:sz w:val="20"/>
        </w:rPr>
        <w:t>评估项目：中化地质矿山总局</w:t>
      </w:r>
      <w:r>
        <w:rPr>
          <w:rFonts w:hint="eastAsia" w:ascii="宋体" w:hAnsi="宋体" w:cs="宋体"/>
          <w:bCs/>
          <w:sz w:val="20"/>
          <w:lang w:val="en-US" w:eastAsia="zh-CN"/>
        </w:rPr>
        <w:t>福建地质勘查院</w:t>
      </w:r>
      <w:r>
        <w:rPr>
          <w:rFonts w:hint="eastAsia" w:ascii="宋体" w:hAnsi="宋体" w:cs="宋体"/>
          <w:bCs/>
          <w:sz w:val="20"/>
        </w:rPr>
        <w:t>拟股权转让涉及漳平市鑫丰矿业有限公司股东全部权益价值</w:t>
      </w:r>
      <w:r>
        <w:rPr>
          <w:rFonts w:hint="eastAsia" w:ascii="宋体" w:hAnsi="宋体" w:cs="宋体"/>
          <w:bCs/>
          <w:sz w:val="20"/>
          <w:lang w:eastAsia="zh-CN"/>
        </w:rPr>
        <w:t>。</w:t>
      </w:r>
    </w:p>
    <w:p w14:paraId="723827E7">
      <w:pPr>
        <w:rPr>
          <w:rFonts w:hint="default" w:ascii="宋体" w:hAnsi="宋体" w:eastAsia="宋体" w:cs="宋体"/>
          <w:bCs/>
          <w:sz w:val="20"/>
          <w:lang w:val="en-US" w:eastAsia="zh-CN"/>
        </w:rPr>
      </w:pPr>
      <w:r>
        <w:rPr>
          <w:rFonts w:hint="eastAsia" w:ascii="宋体" w:hAnsi="宋体" w:cs="宋体"/>
          <w:bCs/>
          <w:sz w:val="20"/>
        </w:rPr>
        <w:t>公示期限：</w:t>
      </w:r>
      <w:r>
        <w:rPr>
          <w:rFonts w:hint="eastAsia" w:ascii="宋体" w:hAnsi="宋体" w:cs="宋体"/>
          <w:bCs/>
          <w:sz w:val="20"/>
          <w:lang w:val="en-US" w:eastAsia="zh-CN"/>
        </w:rPr>
        <w:t>2025年10月11日-2025年10月16日</w:t>
      </w:r>
    </w:p>
    <w:tbl>
      <w:tblPr>
        <w:tblStyle w:val="2"/>
        <w:tblW w:w="93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70"/>
        <w:gridCol w:w="1686"/>
        <w:gridCol w:w="1275"/>
        <w:gridCol w:w="1560"/>
        <w:gridCol w:w="1275"/>
        <w:gridCol w:w="1200"/>
      </w:tblGrid>
      <w:tr w14:paraId="46A9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94" w:type="dxa"/>
            <w:vAlign w:val="center"/>
          </w:tcPr>
          <w:p w14:paraId="6F5FAAF6">
            <w:pPr>
              <w:jc w:val="center"/>
              <w:rPr>
                <w:rFonts w:hint="eastAsia" w:ascii="宋体" w:hAnsi="宋体" w:cs="宋体"/>
                <w:bCs/>
                <w:sz w:val="20"/>
              </w:rPr>
            </w:pPr>
            <w:r>
              <w:rPr>
                <w:rFonts w:hint="eastAsia" w:ascii="宋体" w:hAnsi="宋体" w:cs="宋体"/>
                <w:bCs/>
                <w:sz w:val="20"/>
              </w:rPr>
              <w:t>序号</w:t>
            </w:r>
          </w:p>
        </w:tc>
        <w:tc>
          <w:tcPr>
            <w:tcW w:w="1470" w:type="dxa"/>
            <w:vAlign w:val="center"/>
          </w:tcPr>
          <w:p w14:paraId="442E801A">
            <w:pPr>
              <w:jc w:val="center"/>
              <w:rPr>
                <w:rFonts w:hint="eastAsia" w:ascii="宋体" w:hAnsi="宋体" w:cs="宋体"/>
                <w:bCs/>
                <w:sz w:val="20"/>
              </w:rPr>
            </w:pPr>
            <w:r>
              <w:rPr>
                <w:rFonts w:hint="eastAsia" w:ascii="宋体" w:hAnsi="宋体" w:cs="宋体"/>
                <w:bCs/>
                <w:sz w:val="20"/>
              </w:rPr>
              <w:t>公示项目</w:t>
            </w:r>
          </w:p>
        </w:tc>
        <w:tc>
          <w:tcPr>
            <w:tcW w:w="6996" w:type="dxa"/>
            <w:gridSpan w:val="5"/>
            <w:vAlign w:val="center"/>
          </w:tcPr>
          <w:p w14:paraId="46F52C1A">
            <w:pPr>
              <w:jc w:val="center"/>
              <w:rPr>
                <w:rFonts w:hint="eastAsia" w:ascii="宋体" w:hAnsi="宋体" w:cs="宋体"/>
                <w:bCs/>
                <w:sz w:val="20"/>
              </w:rPr>
            </w:pPr>
            <w:r>
              <w:rPr>
                <w:rFonts w:hint="eastAsia" w:ascii="宋体" w:hAnsi="宋体" w:cs="宋体"/>
                <w:bCs/>
                <w:sz w:val="20"/>
              </w:rPr>
              <w:t>公示内容</w:t>
            </w:r>
          </w:p>
        </w:tc>
      </w:tr>
      <w:tr w14:paraId="555E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94" w:type="dxa"/>
            <w:vAlign w:val="center"/>
          </w:tcPr>
          <w:p w14:paraId="7A293E2D">
            <w:pPr>
              <w:jc w:val="center"/>
              <w:rPr>
                <w:rFonts w:hint="eastAsia" w:ascii="宋体" w:hAnsi="宋体" w:cs="宋体"/>
                <w:bCs/>
                <w:sz w:val="20"/>
              </w:rPr>
            </w:pPr>
            <w:r>
              <w:rPr>
                <w:rFonts w:hint="eastAsia" w:ascii="宋体" w:hAnsi="宋体" w:cs="宋体"/>
                <w:bCs/>
                <w:sz w:val="20"/>
              </w:rPr>
              <w:t>1</w:t>
            </w:r>
          </w:p>
        </w:tc>
        <w:tc>
          <w:tcPr>
            <w:tcW w:w="1470" w:type="dxa"/>
            <w:vAlign w:val="center"/>
          </w:tcPr>
          <w:p w14:paraId="1B434C1F">
            <w:pPr>
              <w:jc w:val="center"/>
              <w:rPr>
                <w:rFonts w:hint="eastAsia" w:ascii="宋体" w:hAnsi="宋体" w:cs="宋体"/>
                <w:bCs/>
                <w:sz w:val="20"/>
              </w:rPr>
            </w:pPr>
            <w:r>
              <w:rPr>
                <w:rFonts w:hint="eastAsia" w:ascii="宋体" w:hAnsi="宋体" w:cs="宋体"/>
                <w:bCs/>
                <w:sz w:val="20"/>
              </w:rPr>
              <w:t>经济行为批准</w:t>
            </w:r>
          </w:p>
          <w:p w14:paraId="7FCBF9D4">
            <w:pPr>
              <w:jc w:val="center"/>
              <w:rPr>
                <w:rFonts w:hint="eastAsia" w:ascii="宋体" w:hAnsi="宋体" w:cs="宋体"/>
                <w:bCs/>
                <w:sz w:val="20"/>
              </w:rPr>
            </w:pPr>
            <w:r>
              <w:rPr>
                <w:rFonts w:hint="eastAsia" w:ascii="宋体" w:hAnsi="宋体" w:cs="宋体"/>
                <w:bCs/>
                <w:sz w:val="20"/>
              </w:rPr>
              <w:t>文件</w:t>
            </w:r>
          </w:p>
        </w:tc>
        <w:tc>
          <w:tcPr>
            <w:tcW w:w="6996" w:type="dxa"/>
            <w:gridSpan w:val="5"/>
            <w:vAlign w:val="center"/>
          </w:tcPr>
          <w:p w14:paraId="4F3C3F8A">
            <w:pPr>
              <w:rPr>
                <w:rFonts w:hint="eastAsia" w:asciiTheme="majorEastAsia" w:hAnsiTheme="majorEastAsia" w:eastAsiaTheme="majorEastAsia" w:cstheme="majorEastAsia"/>
                <w:bCs/>
                <w:sz w:val="20"/>
                <w:highlight w:val="yellow"/>
              </w:rPr>
            </w:pPr>
            <w:r>
              <w:rPr>
                <w:rFonts w:hint="eastAsia" w:asciiTheme="minorEastAsia" w:hAnsiTheme="minorEastAsia" w:eastAsiaTheme="minorEastAsia" w:cstheme="majorEastAsia"/>
                <w:bCs/>
                <w:sz w:val="18"/>
                <w:szCs w:val="18"/>
                <w:lang w:eastAsia="zh-CN"/>
              </w:rPr>
              <w:t>《</w:t>
            </w:r>
            <w:r>
              <w:rPr>
                <w:rFonts w:hint="eastAsia" w:asciiTheme="minorEastAsia" w:hAnsiTheme="minorEastAsia" w:eastAsiaTheme="minorEastAsia" w:cstheme="majorEastAsia"/>
                <w:bCs/>
                <w:sz w:val="18"/>
                <w:szCs w:val="18"/>
              </w:rPr>
              <w:t>中化地质矿山总局关于福建地质勘查院所持漳平市鑫丰矿业有限公司70%股权挂牌转让立项的批复</w:t>
            </w:r>
            <w:r>
              <w:rPr>
                <w:rFonts w:hint="eastAsia" w:asciiTheme="minorEastAsia" w:hAnsiTheme="minorEastAsia" w:eastAsiaTheme="minorEastAsia" w:cstheme="majorEastAsia"/>
                <w:bCs/>
                <w:sz w:val="18"/>
                <w:szCs w:val="18"/>
                <w:lang w:eastAsia="zh-CN"/>
              </w:rPr>
              <w:t>》</w:t>
            </w:r>
            <w:r>
              <w:rPr>
                <w:rFonts w:hint="eastAsia" w:asciiTheme="minorEastAsia" w:hAnsiTheme="minorEastAsia" w:eastAsiaTheme="minorEastAsia" w:cstheme="majorEastAsia"/>
                <w:bCs/>
                <w:sz w:val="18"/>
                <w:szCs w:val="18"/>
              </w:rPr>
              <w:t>中化地矿规发〔2025〕54 号</w:t>
            </w:r>
          </w:p>
        </w:tc>
      </w:tr>
      <w:tr w14:paraId="6AA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4" w:type="dxa"/>
            <w:vAlign w:val="center"/>
          </w:tcPr>
          <w:p w14:paraId="206EB8D3">
            <w:pPr>
              <w:jc w:val="center"/>
              <w:rPr>
                <w:rFonts w:hint="eastAsia" w:ascii="宋体" w:hAnsi="宋体" w:cs="宋体"/>
                <w:bCs/>
                <w:sz w:val="20"/>
              </w:rPr>
            </w:pPr>
            <w:r>
              <w:rPr>
                <w:rFonts w:hint="eastAsia" w:ascii="宋体" w:hAnsi="宋体" w:cs="宋体"/>
                <w:bCs/>
                <w:sz w:val="20"/>
              </w:rPr>
              <w:t>2</w:t>
            </w:r>
          </w:p>
        </w:tc>
        <w:tc>
          <w:tcPr>
            <w:tcW w:w="1470" w:type="dxa"/>
            <w:vAlign w:val="center"/>
          </w:tcPr>
          <w:p w14:paraId="52B530DF">
            <w:pPr>
              <w:jc w:val="center"/>
              <w:rPr>
                <w:rFonts w:hint="eastAsia" w:ascii="宋体" w:hAnsi="宋体" w:cs="宋体"/>
                <w:bCs/>
                <w:sz w:val="20"/>
              </w:rPr>
            </w:pPr>
            <w:r>
              <w:rPr>
                <w:rFonts w:hint="eastAsia" w:ascii="宋体" w:hAnsi="宋体" w:cs="宋体"/>
                <w:bCs/>
                <w:sz w:val="20"/>
              </w:rPr>
              <w:t>评估机构选聘</w:t>
            </w:r>
          </w:p>
          <w:p w14:paraId="0C20BA06">
            <w:pPr>
              <w:jc w:val="center"/>
              <w:rPr>
                <w:rFonts w:hint="eastAsia" w:ascii="宋体" w:hAnsi="宋体" w:cs="宋体"/>
                <w:bCs/>
                <w:sz w:val="20"/>
              </w:rPr>
            </w:pPr>
            <w:r>
              <w:rPr>
                <w:rFonts w:hint="eastAsia" w:ascii="宋体" w:hAnsi="宋体" w:cs="宋体"/>
                <w:bCs/>
                <w:sz w:val="20"/>
              </w:rPr>
              <w:t>方式</w:t>
            </w:r>
          </w:p>
        </w:tc>
        <w:tc>
          <w:tcPr>
            <w:tcW w:w="6996" w:type="dxa"/>
            <w:gridSpan w:val="5"/>
            <w:vAlign w:val="center"/>
          </w:tcPr>
          <w:p w14:paraId="5E8D37F1">
            <w:pPr>
              <w:rPr>
                <w:rFonts w:hint="eastAsia" w:asciiTheme="majorEastAsia" w:hAnsiTheme="majorEastAsia" w:eastAsiaTheme="minorEastAsia" w:cstheme="majorEastAsia"/>
                <w:bCs/>
                <w:sz w:val="20"/>
                <w:lang w:val="en-US" w:eastAsia="zh-CN"/>
              </w:rPr>
            </w:pPr>
            <w:r>
              <w:rPr>
                <w:rFonts w:hint="eastAsia" w:asciiTheme="minorEastAsia" w:hAnsiTheme="minorEastAsia" w:eastAsiaTheme="minorEastAsia" w:cstheme="majorEastAsia"/>
                <w:bCs/>
                <w:sz w:val="18"/>
                <w:szCs w:val="18"/>
                <w:lang w:val="en-US" w:eastAsia="zh-CN"/>
              </w:rPr>
              <w:t>中化地质矿山总局（中化明达控股集团有限公司）通过</w:t>
            </w:r>
            <w:r>
              <w:rPr>
                <w:rFonts w:hint="eastAsia" w:asciiTheme="minorEastAsia" w:hAnsiTheme="minorEastAsia" w:eastAsiaTheme="minorEastAsia" w:cstheme="majorEastAsia"/>
                <w:bCs/>
                <w:sz w:val="18"/>
                <w:szCs w:val="18"/>
              </w:rPr>
              <w:t>选聘中介机构服务（评估机构）询比采购</w:t>
            </w:r>
            <w:r>
              <w:rPr>
                <w:rFonts w:hint="eastAsia" w:asciiTheme="minorEastAsia" w:hAnsiTheme="minorEastAsia" w:eastAsiaTheme="minorEastAsia" w:cstheme="majorEastAsia"/>
                <w:bCs/>
                <w:sz w:val="18"/>
                <w:szCs w:val="18"/>
                <w:lang w:val="en-US" w:eastAsia="zh-CN"/>
              </w:rPr>
              <w:t>方式从</w:t>
            </w:r>
            <w:r>
              <w:rPr>
                <w:rFonts w:hint="eastAsia" w:asciiTheme="minorEastAsia" w:hAnsiTheme="minorEastAsia" w:eastAsiaTheme="minorEastAsia" w:cstheme="majorEastAsia"/>
                <w:bCs/>
                <w:sz w:val="18"/>
                <w:szCs w:val="18"/>
              </w:rPr>
              <w:t>评估机构备选库中择优选择符合要求的评估机构。</w:t>
            </w:r>
          </w:p>
        </w:tc>
      </w:tr>
      <w:tr w14:paraId="02AA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4" w:type="dxa"/>
            <w:vAlign w:val="center"/>
          </w:tcPr>
          <w:p w14:paraId="4B5AB1D9">
            <w:pPr>
              <w:jc w:val="center"/>
              <w:rPr>
                <w:rFonts w:hint="eastAsia" w:ascii="宋体" w:hAnsi="宋体" w:cs="宋体"/>
                <w:bCs/>
                <w:sz w:val="20"/>
              </w:rPr>
            </w:pPr>
          </w:p>
          <w:p w14:paraId="7165B722">
            <w:pPr>
              <w:jc w:val="center"/>
              <w:rPr>
                <w:rFonts w:hint="eastAsia" w:ascii="宋体" w:hAnsi="宋体" w:cs="宋体"/>
                <w:bCs/>
                <w:sz w:val="20"/>
              </w:rPr>
            </w:pPr>
            <w:r>
              <w:rPr>
                <w:rFonts w:hint="eastAsia" w:ascii="宋体" w:hAnsi="宋体" w:cs="宋体"/>
                <w:bCs/>
                <w:sz w:val="20"/>
              </w:rPr>
              <w:t>3</w:t>
            </w:r>
          </w:p>
        </w:tc>
        <w:tc>
          <w:tcPr>
            <w:tcW w:w="1470" w:type="dxa"/>
            <w:vAlign w:val="center"/>
          </w:tcPr>
          <w:p w14:paraId="662F835E">
            <w:pPr>
              <w:jc w:val="center"/>
              <w:rPr>
                <w:rFonts w:hint="eastAsia" w:ascii="宋体" w:hAnsi="宋体" w:cs="宋体"/>
                <w:bCs/>
                <w:sz w:val="20"/>
              </w:rPr>
            </w:pPr>
            <w:r>
              <w:rPr>
                <w:rFonts w:hint="eastAsia" w:ascii="宋体" w:hAnsi="宋体" w:cs="宋体"/>
                <w:bCs/>
                <w:sz w:val="20"/>
              </w:rPr>
              <w:t>评估机构及评估师资质</w:t>
            </w:r>
          </w:p>
        </w:tc>
        <w:tc>
          <w:tcPr>
            <w:tcW w:w="6996" w:type="dxa"/>
            <w:gridSpan w:val="5"/>
            <w:vAlign w:val="center"/>
          </w:tcPr>
          <w:p w14:paraId="47CF9C44">
            <w:pPr>
              <w:rPr>
                <w:rFonts w:hint="default" w:asciiTheme="majorEastAsia" w:hAnsiTheme="majorEastAsia" w:eastAsiaTheme="majorEastAsia" w:cstheme="majorEastAsia"/>
                <w:bCs/>
                <w:sz w:val="20"/>
                <w:lang w:val="en-US" w:eastAsia="zh-CN"/>
              </w:rPr>
            </w:pPr>
            <w:r>
              <w:rPr>
                <w:rFonts w:hint="eastAsia" w:asciiTheme="minorEastAsia" w:hAnsiTheme="minorEastAsia" w:eastAsiaTheme="minorEastAsia" w:cstheme="majorEastAsia"/>
                <w:bCs/>
                <w:sz w:val="18"/>
                <w:szCs w:val="18"/>
                <w:lang w:val="en-US" w:eastAsia="zh-CN"/>
              </w:rPr>
              <w:t>北方亚事资产评估有限责任公司，（评估师：宋利强 会员编号：41140014、评估师：陈梦伟 会员编号：11220177）</w:t>
            </w:r>
          </w:p>
        </w:tc>
      </w:tr>
      <w:tr w14:paraId="117B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94" w:type="dxa"/>
            <w:vAlign w:val="center"/>
          </w:tcPr>
          <w:p w14:paraId="6C4ECB77">
            <w:pPr>
              <w:jc w:val="center"/>
              <w:rPr>
                <w:rFonts w:hint="eastAsia" w:ascii="宋体" w:hAnsi="宋体" w:cs="宋体"/>
                <w:bCs/>
                <w:sz w:val="20"/>
              </w:rPr>
            </w:pPr>
            <w:r>
              <w:rPr>
                <w:rFonts w:hint="eastAsia" w:ascii="宋体" w:hAnsi="宋体" w:cs="宋体"/>
                <w:bCs/>
                <w:sz w:val="20"/>
              </w:rPr>
              <w:t>4</w:t>
            </w:r>
          </w:p>
        </w:tc>
        <w:tc>
          <w:tcPr>
            <w:tcW w:w="1470" w:type="dxa"/>
            <w:vAlign w:val="center"/>
          </w:tcPr>
          <w:p w14:paraId="25E08022">
            <w:pPr>
              <w:jc w:val="center"/>
              <w:rPr>
                <w:rFonts w:hint="eastAsia" w:ascii="宋体" w:hAnsi="宋体" w:cs="宋体"/>
                <w:bCs/>
                <w:sz w:val="20"/>
              </w:rPr>
            </w:pPr>
            <w:r>
              <w:rPr>
                <w:rFonts w:hint="eastAsia" w:ascii="宋体" w:hAnsi="宋体" w:cs="宋体"/>
                <w:bCs/>
                <w:sz w:val="20"/>
              </w:rPr>
              <w:t>评估程序履行及审核情况</w:t>
            </w:r>
          </w:p>
        </w:tc>
        <w:tc>
          <w:tcPr>
            <w:tcW w:w="6996" w:type="dxa"/>
            <w:gridSpan w:val="5"/>
            <w:vAlign w:val="center"/>
          </w:tcPr>
          <w:p w14:paraId="30A0521F">
            <w:pPr>
              <w:rPr>
                <w:rFonts w:hint="eastAsia" w:asciiTheme="majorEastAsia" w:hAnsiTheme="majorEastAsia" w:eastAsiaTheme="majorEastAsia" w:cstheme="majorEastAsia"/>
                <w:bCs/>
                <w:sz w:val="20"/>
              </w:rPr>
            </w:pPr>
            <w:r>
              <w:rPr>
                <w:rFonts w:hint="eastAsia" w:asciiTheme="minorEastAsia" w:hAnsiTheme="minorEastAsia" w:eastAsiaTheme="minorEastAsia" w:cstheme="majorEastAsia"/>
                <w:bCs/>
                <w:sz w:val="18"/>
                <w:szCs w:val="18"/>
                <w:lang w:val="en-US" w:eastAsia="zh-CN"/>
              </w:rPr>
              <w:t>中化地质矿山总局（中化明达控股集团有限公司）</w:t>
            </w:r>
            <w:r>
              <w:rPr>
                <w:rFonts w:hint="eastAsia" w:asciiTheme="minorEastAsia" w:hAnsiTheme="minorEastAsia" w:eastAsiaTheme="minorEastAsia" w:cstheme="majorEastAsia"/>
                <w:bCs/>
                <w:sz w:val="18"/>
                <w:szCs w:val="18"/>
              </w:rPr>
              <w:t>选聘</w:t>
            </w:r>
            <w:r>
              <w:rPr>
                <w:rFonts w:hint="eastAsia" w:asciiTheme="minorEastAsia" w:hAnsiTheme="minorEastAsia" w:eastAsiaTheme="minorEastAsia" w:cstheme="majorEastAsia"/>
                <w:bCs/>
                <w:sz w:val="18"/>
                <w:szCs w:val="18"/>
                <w:lang w:val="en-US" w:eastAsia="zh-CN"/>
              </w:rPr>
              <w:t>北方亚事资产评估有限责任公司</w:t>
            </w:r>
            <w:r>
              <w:rPr>
                <w:rFonts w:hint="eastAsia" w:asciiTheme="minorEastAsia" w:hAnsiTheme="minorEastAsia" w:eastAsiaTheme="minorEastAsia" w:cstheme="majorEastAsia"/>
                <w:bCs/>
                <w:sz w:val="18"/>
                <w:szCs w:val="18"/>
              </w:rPr>
              <w:t>对中化地质矿山总局</w:t>
            </w:r>
            <w:r>
              <w:rPr>
                <w:rFonts w:hint="eastAsia" w:asciiTheme="minorEastAsia" w:hAnsiTheme="minorEastAsia" w:eastAsiaTheme="minorEastAsia" w:cstheme="majorEastAsia"/>
                <w:bCs/>
                <w:sz w:val="18"/>
                <w:szCs w:val="18"/>
                <w:lang w:val="en-US" w:eastAsia="zh-CN"/>
              </w:rPr>
              <w:t>福建地质勘查院所属公司漳平市鑫丰矿业有限公司及漳平市鑫丰矿业有限公司所持有的“福建省漳平市彭溪矿区铁多金属矿详查探矿权”评估项目</w:t>
            </w:r>
            <w:r>
              <w:rPr>
                <w:rFonts w:hint="eastAsia" w:asciiTheme="minorEastAsia" w:hAnsiTheme="minorEastAsia" w:eastAsiaTheme="minorEastAsia" w:cstheme="majorEastAsia"/>
                <w:bCs/>
                <w:sz w:val="18"/>
                <w:szCs w:val="18"/>
              </w:rPr>
              <w:t>开展评估工作，并由中国煤炭地质总局委托专家对评估报告初稿进行了审核，并出具了审核意见，目前审核无异议。</w:t>
            </w:r>
          </w:p>
        </w:tc>
      </w:tr>
      <w:tr w14:paraId="6515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exact"/>
        </w:trPr>
        <w:tc>
          <w:tcPr>
            <w:tcW w:w="894" w:type="dxa"/>
            <w:vAlign w:val="center"/>
          </w:tcPr>
          <w:p w14:paraId="41F25925">
            <w:pPr>
              <w:jc w:val="center"/>
              <w:rPr>
                <w:rFonts w:hint="eastAsia" w:ascii="宋体" w:hAnsi="宋体" w:cs="宋体"/>
                <w:bCs/>
                <w:sz w:val="20"/>
              </w:rPr>
            </w:pPr>
            <w:r>
              <w:rPr>
                <w:rFonts w:hint="eastAsia" w:ascii="宋体" w:hAnsi="宋体" w:cs="宋体"/>
                <w:bCs/>
                <w:sz w:val="20"/>
              </w:rPr>
              <w:t>5</w:t>
            </w:r>
          </w:p>
        </w:tc>
        <w:tc>
          <w:tcPr>
            <w:tcW w:w="1470" w:type="dxa"/>
            <w:vAlign w:val="center"/>
          </w:tcPr>
          <w:p w14:paraId="0952A7C7">
            <w:pPr>
              <w:jc w:val="center"/>
              <w:rPr>
                <w:rFonts w:hint="eastAsia" w:ascii="宋体" w:hAnsi="宋体" w:cs="宋体"/>
                <w:bCs/>
                <w:sz w:val="20"/>
              </w:rPr>
            </w:pPr>
            <w:r>
              <w:rPr>
                <w:rFonts w:hint="eastAsia" w:ascii="宋体" w:hAnsi="宋体" w:cs="宋体"/>
                <w:bCs/>
                <w:sz w:val="20"/>
              </w:rPr>
              <w:t>评估报告摘要和特别事项说明</w:t>
            </w:r>
          </w:p>
        </w:tc>
        <w:tc>
          <w:tcPr>
            <w:tcW w:w="6996" w:type="dxa"/>
            <w:gridSpan w:val="5"/>
          </w:tcPr>
          <w:p w14:paraId="68ABDE67">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一、评估目的:根据《中化地质矿山总局关于福建地质勘查院所持漳平市鑫丰矿业有限公司70%股权挂牌转让立项的批复》(中化地矿规发[2025]54号)、《中化地质矿山总局关于中化地质矿山总局福建地质勘察院下属漳平市鑫丰矿业股东全部权益价值申请审计、评估的批复》(中化地矿财发[2025]104号)，中化地质矿山总局福建地质勘查院拟转让所持漳平市鑫丰矿业有限公司70%股权，以2025年3月31日为评估基准日对漳平市鑫丰矿业有限公司的股东全部权益价值进行评估，为中化地质矿山总局福建地质勘查院的经济行为提供价值参考依据</w:t>
            </w:r>
          </w:p>
          <w:p w14:paraId="20985E37">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二、评估对象和评估范围:评估对象为漳平市鑫丰矿业有限公司股东全部权益价值。评估范围为评估基准日漳平市鑫丰矿业有限公司经审计的全部资产及负债</w:t>
            </w:r>
          </w:p>
          <w:p w14:paraId="0225569C">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三、价值类型:市场价值。</w:t>
            </w:r>
          </w:p>
          <w:p w14:paraId="234C2FE2">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四、评估基准日:2025年3月31日。</w:t>
            </w:r>
          </w:p>
          <w:p w14:paraId="32A45321">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五、评估方法:本项目采用资产基础法进行评估。</w:t>
            </w:r>
          </w:p>
          <w:p w14:paraId="2A0C7202">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六、评估结论:本评估报告选用资产基础法评估结果作为评估结论，具体如下截止评估基准日2025年3月31日，在持续经营条件下，漳平市鑫丰矿业有限公司评估基准日总资产账面价值为100.00万元，评估价值768.56万元，评估增值668.56万元，增值率668.56%;总负债账面价值为0.00万元。净资产账面价值为100.00万元,评估价值768.56万元,评估增值668.56万元,增值率668.56%。</w:t>
            </w:r>
          </w:p>
        </w:tc>
      </w:tr>
      <w:tr w14:paraId="2665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94" w:type="dxa"/>
            <w:vMerge w:val="restart"/>
            <w:vAlign w:val="center"/>
          </w:tcPr>
          <w:p w14:paraId="11A4F3A5">
            <w:pPr>
              <w:jc w:val="center"/>
              <w:rPr>
                <w:rFonts w:hint="eastAsia" w:ascii="宋体" w:hAnsi="宋体" w:cs="宋体"/>
                <w:bCs/>
                <w:sz w:val="20"/>
              </w:rPr>
            </w:pPr>
            <w:r>
              <w:rPr>
                <w:rFonts w:hint="eastAsia" w:ascii="宋体" w:hAnsi="宋体" w:cs="宋体"/>
                <w:bCs/>
                <w:sz w:val="20"/>
              </w:rPr>
              <w:t>6</w:t>
            </w:r>
          </w:p>
        </w:tc>
        <w:tc>
          <w:tcPr>
            <w:tcW w:w="1470" w:type="dxa"/>
            <w:vMerge w:val="restart"/>
            <w:vAlign w:val="center"/>
          </w:tcPr>
          <w:p w14:paraId="0023C069">
            <w:pPr>
              <w:jc w:val="center"/>
              <w:rPr>
                <w:rFonts w:hint="eastAsia" w:ascii="宋体" w:hAnsi="宋体" w:cs="宋体"/>
                <w:bCs/>
                <w:sz w:val="20"/>
              </w:rPr>
            </w:pPr>
            <w:r>
              <w:rPr>
                <w:rFonts w:hint="eastAsia" w:ascii="宋体" w:hAnsi="宋体" w:cs="宋体"/>
                <w:bCs/>
                <w:sz w:val="20"/>
              </w:rPr>
              <w:t>评估结果汇总表</w:t>
            </w:r>
          </w:p>
          <w:p w14:paraId="769929D9">
            <w:pPr>
              <w:jc w:val="center"/>
              <w:rPr>
                <w:rFonts w:hint="eastAsia" w:ascii="宋体" w:hAnsi="宋体" w:cs="宋体"/>
                <w:bCs/>
                <w:sz w:val="20"/>
              </w:rPr>
            </w:pPr>
            <w:r>
              <w:rPr>
                <w:rFonts w:hint="eastAsia" w:ascii="宋体" w:hAnsi="宋体" w:cs="宋体"/>
                <w:bCs/>
                <w:sz w:val="20"/>
              </w:rPr>
              <w:t>（单位：万元）</w:t>
            </w:r>
          </w:p>
        </w:tc>
        <w:tc>
          <w:tcPr>
            <w:tcW w:w="1686" w:type="dxa"/>
            <w:vAlign w:val="center"/>
          </w:tcPr>
          <w:p w14:paraId="6CE76264">
            <w:pPr>
              <w:widowControl/>
              <w:ind w:firstLine="200" w:firstLineChars="100"/>
              <w:jc w:val="left"/>
              <w:rPr>
                <w:rFonts w:hint="eastAsia" w:ascii="宋体" w:hAnsi="宋体" w:cs="宋体"/>
                <w:bCs/>
                <w:sz w:val="20"/>
                <w:szCs w:val="22"/>
              </w:rPr>
            </w:pPr>
            <w:r>
              <w:rPr>
                <w:rFonts w:hint="eastAsia" w:ascii="宋体" w:hAnsi="宋体" w:cs="宋体"/>
                <w:bCs/>
                <w:sz w:val="20"/>
                <w:szCs w:val="22"/>
              </w:rPr>
              <w:t>项  目</w:t>
            </w:r>
          </w:p>
        </w:tc>
        <w:tc>
          <w:tcPr>
            <w:tcW w:w="1275" w:type="dxa"/>
            <w:vAlign w:val="center"/>
          </w:tcPr>
          <w:p w14:paraId="03B68899">
            <w:pPr>
              <w:widowControl/>
              <w:ind w:firstLine="100" w:firstLineChars="50"/>
              <w:jc w:val="left"/>
              <w:rPr>
                <w:rFonts w:hint="eastAsia" w:ascii="宋体" w:hAnsi="宋体" w:cs="宋体"/>
                <w:bCs/>
                <w:sz w:val="20"/>
                <w:szCs w:val="22"/>
              </w:rPr>
            </w:pPr>
            <w:r>
              <w:rPr>
                <w:rFonts w:hint="eastAsia" w:ascii="宋体" w:hAnsi="宋体" w:cs="宋体"/>
                <w:bCs/>
                <w:sz w:val="20"/>
                <w:szCs w:val="22"/>
              </w:rPr>
              <w:t>账面价值</w:t>
            </w:r>
          </w:p>
        </w:tc>
        <w:tc>
          <w:tcPr>
            <w:tcW w:w="1560" w:type="dxa"/>
            <w:vAlign w:val="center"/>
          </w:tcPr>
          <w:p w14:paraId="0CA30936">
            <w:pPr>
              <w:widowControl/>
              <w:jc w:val="left"/>
              <w:rPr>
                <w:rFonts w:hint="eastAsia" w:ascii="宋体" w:hAnsi="宋体" w:cs="宋体"/>
                <w:bCs/>
                <w:sz w:val="20"/>
                <w:szCs w:val="22"/>
              </w:rPr>
            </w:pPr>
            <w:r>
              <w:rPr>
                <w:rFonts w:hint="eastAsia" w:ascii="宋体" w:hAnsi="宋体" w:cs="宋体"/>
                <w:bCs/>
                <w:sz w:val="20"/>
                <w:szCs w:val="22"/>
              </w:rPr>
              <w:t>评估值</w:t>
            </w:r>
          </w:p>
        </w:tc>
        <w:tc>
          <w:tcPr>
            <w:tcW w:w="1275" w:type="dxa"/>
            <w:vAlign w:val="center"/>
          </w:tcPr>
          <w:p w14:paraId="65A515DC">
            <w:pPr>
              <w:widowControl/>
              <w:jc w:val="left"/>
              <w:rPr>
                <w:rFonts w:hint="eastAsia" w:ascii="宋体" w:hAnsi="宋体" w:cs="宋体"/>
                <w:bCs/>
                <w:sz w:val="20"/>
                <w:szCs w:val="22"/>
              </w:rPr>
            </w:pPr>
            <w:r>
              <w:rPr>
                <w:rFonts w:hint="eastAsia" w:ascii="宋体" w:hAnsi="宋体" w:cs="宋体"/>
                <w:bCs/>
                <w:sz w:val="20"/>
                <w:szCs w:val="22"/>
              </w:rPr>
              <w:t>增值额</w:t>
            </w:r>
          </w:p>
        </w:tc>
        <w:tc>
          <w:tcPr>
            <w:tcW w:w="1200" w:type="dxa"/>
            <w:vAlign w:val="center"/>
          </w:tcPr>
          <w:p w14:paraId="09449070">
            <w:pPr>
              <w:widowControl/>
              <w:jc w:val="left"/>
              <w:rPr>
                <w:rFonts w:hint="eastAsia" w:ascii="宋体" w:hAnsi="宋体" w:cs="宋体"/>
                <w:bCs/>
                <w:sz w:val="20"/>
                <w:szCs w:val="22"/>
              </w:rPr>
            </w:pPr>
            <w:r>
              <w:rPr>
                <w:rFonts w:hint="eastAsia" w:ascii="宋体" w:hAnsi="宋体" w:cs="宋体"/>
                <w:bCs/>
                <w:sz w:val="20"/>
                <w:szCs w:val="22"/>
              </w:rPr>
              <w:t>增值率（%）</w:t>
            </w:r>
          </w:p>
        </w:tc>
      </w:tr>
      <w:tr w14:paraId="42E8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94" w:type="dxa"/>
            <w:vMerge w:val="continue"/>
            <w:vAlign w:val="center"/>
          </w:tcPr>
          <w:p w14:paraId="28B56BAF">
            <w:pPr>
              <w:jc w:val="center"/>
              <w:rPr>
                <w:rFonts w:hint="eastAsia" w:ascii="宋体" w:hAnsi="宋体" w:cs="宋体"/>
                <w:bCs/>
                <w:sz w:val="20"/>
              </w:rPr>
            </w:pPr>
          </w:p>
        </w:tc>
        <w:tc>
          <w:tcPr>
            <w:tcW w:w="1470" w:type="dxa"/>
            <w:vMerge w:val="continue"/>
            <w:vAlign w:val="center"/>
          </w:tcPr>
          <w:p w14:paraId="52F0E1B4">
            <w:pPr>
              <w:jc w:val="center"/>
              <w:rPr>
                <w:rFonts w:hint="eastAsia" w:ascii="宋体" w:hAnsi="宋体" w:cs="宋体"/>
                <w:bCs/>
                <w:sz w:val="20"/>
              </w:rPr>
            </w:pPr>
          </w:p>
        </w:tc>
        <w:tc>
          <w:tcPr>
            <w:tcW w:w="1686" w:type="dxa"/>
            <w:vAlign w:val="center"/>
          </w:tcPr>
          <w:p w14:paraId="7E0F9B04">
            <w:pPr>
              <w:jc w:val="center"/>
              <w:rPr>
                <w:rFonts w:hint="eastAsia" w:ascii="宋体" w:hAnsi="宋体" w:cs="宋体"/>
                <w:bCs/>
                <w:sz w:val="18"/>
                <w:szCs w:val="18"/>
              </w:rPr>
            </w:pPr>
            <w:r>
              <w:rPr>
                <w:bCs/>
                <w:color w:val="000000"/>
                <w:sz w:val="20"/>
                <w:lang w:bidi="ar"/>
              </w:rPr>
              <w:t>流动资产</w:t>
            </w:r>
          </w:p>
        </w:tc>
        <w:tc>
          <w:tcPr>
            <w:tcW w:w="1275" w:type="dxa"/>
            <w:vAlign w:val="center"/>
          </w:tcPr>
          <w:p w14:paraId="37BAE67C">
            <w:pPr>
              <w:jc w:val="center"/>
              <w:rPr>
                <w:rFonts w:hint="default" w:ascii="宋体" w:hAnsi="宋体" w:eastAsia="宋体" w:cs="宋体"/>
                <w:bCs/>
                <w:sz w:val="20"/>
                <w:lang w:val="en-US" w:eastAsia="zh-CN"/>
              </w:rPr>
            </w:pPr>
            <w:r>
              <w:rPr>
                <w:rFonts w:hint="eastAsia" w:ascii="宋体" w:hAnsi="宋体" w:cs="宋体"/>
                <w:bCs/>
                <w:sz w:val="20"/>
                <w:lang w:val="en-US" w:eastAsia="zh-CN"/>
              </w:rPr>
              <w:t>97.70</w:t>
            </w:r>
          </w:p>
        </w:tc>
        <w:tc>
          <w:tcPr>
            <w:tcW w:w="1560" w:type="dxa"/>
            <w:vAlign w:val="center"/>
          </w:tcPr>
          <w:p w14:paraId="1828EA9B">
            <w:pPr>
              <w:jc w:val="center"/>
              <w:rPr>
                <w:rFonts w:hint="default" w:ascii="宋体" w:hAnsi="宋体" w:eastAsia="宋体" w:cs="宋体"/>
                <w:bCs/>
                <w:sz w:val="20"/>
                <w:lang w:val="en-US" w:eastAsia="zh-CN"/>
              </w:rPr>
            </w:pPr>
            <w:r>
              <w:rPr>
                <w:rFonts w:hint="eastAsia" w:ascii="宋体" w:hAnsi="宋体" w:cs="宋体"/>
                <w:bCs/>
                <w:sz w:val="20"/>
                <w:lang w:val="en-US" w:eastAsia="zh-CN"/>
              </w:rPr>
              <w:t>768.56</w:t>
            </w:r>
          </w:p>
        </w:tc>
        <w:tc>
          <w:tcPr>
            <w:tcW w:w="1275" w:type="dxa"/>
            <w:vAlign w:val="center"/>
          </w:tcPr>
          <w:p w14:paraId="74BD01B0">
            <w:pPr>
              <w:jc w:val="center"/>
              <w:rPr>
                <w:rFonts w:hint="default" w:ascii="宋体" w:hAnsi="宋体" w:eastAsia="宋体" w:cs="宋体"/>
                <w:bCs/>
                <w:sz w:val="20"/>
                <w:lang w:val="en-US" w:eastAsia="zh-CN"/>
              </w:rPr>
            </w:pPr>
            <w:r>
              <w:rPr>
                <w:rFonts w:hint="eastAsia" w:ascii="宋体" w:hAnsi="宋体" w:cs="宋体"/>
                <w:bCs/>
                <w:sz w:val="20"/>
                <w:lang w:val="en-US" w:eastAsia="zh-CN"/>
              </w:rPr>
              <w:t>670.86</w:t>
            </w:r>
          </w:p>
        </w:tc>
        <w:tc>
          <w:tcPr>
            <w:tcW w:w="1200" w:type="dxa"/>
            <w:vAlign w:val="center"/>
          </w:tcPr>
          <w:p w14:paraId="11F6C4C9">
            <w:pPr>
              <w:jc w:val="center"/>
              <w:rPr>
                <w:rFonts w:hint="default" w:ascii="宋体" w:hAnsi="宋体" w:eastAsia="宋体" w:cs="宋体"/>
                <w:bCs/>
                <w:sz w:val="20"/>
                <w:lang w:val="en-US" w:eastAsia="zh-CN"/>
              </w:rPr>
            </w:pPr>
            <w:r>
              <w:rPr>
                <w:rFonts w:hint="eastAsia" w:ascii="宋体" w:hAnsi="宋体" w:cs="宋体"/>
                <w:bCs/>
                <w:sz w:val="20"/>
                <w:lang w:val="en-US" w:eastAsia="zh-CN"/>
              </w:rPr>
              <w:t>686.63</w:t>
            </w:r>
          </w:p>
        </w:tc>
      </w:tr>
      <w:tr w14:paraId="0E48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94" w:type="dxa"/>
            <w:vMerge w:val="continue"/>
            <w:vAlign w:val="center"/>
          </w:tcPr>
          <w:p w14:paraId="2E805DED">
            <w:pPr>
              <w:jc w:val="center"/>
              <w:rPr>
                <w:rFonts w:hint="eastAsia" w:ascii="宋体" w:hAnsi="宋体" w:cs="宋体"/>
                <w:bCs/>
                <w:sz w:val="20"/>
              </w:rPr>
            </w:pPr>
          </w:p>
        </w:tc>
        <w:tc>
          <w:tcPr>
            <w:tcW w:w="1470" w:type="dxa"/>
            <w:vMerge w:val="continue"/>
            <w:vAlign w:val="center"/>
          </w:tcPr>
          <w:p w14:paraId="0DA023A5">
            <w:pPr>
              <w:jc w:val="center"/>
              <w:rPr>
                <w:rFonts w:hint="eastAsia" w:ascii="宋体" w:hAnsi="宋体" w:cs="宋体"/>
                <w:bCs/>
                <w:sz w:val="20"/>
              </w:rPr>
            </w:pPr>
          </w:p>
        </w:tc>
        <w:tc>
          <w:tcPr>
            <w:tcW w:w="1686" w:type="dxa"/>
            <w:vAlign w:val="center"/>
          </w:tcPr>
          <w:p w14:paraId="09EFF946">
            <w:pPr>
              <w:jc w:val="center"/>
              <w:rPr>
                <w:rFonts w:hint="eastAsia" w:ascii="宋体" w:hAnsi="宋体" w:cs="宋体"/>
                <w:bCs/>
                <w:sz w:val="20"/>
              </w:rPr>
            </w:pPr>
            <w:r>
              <w:rPr>
                <w:bCs/>
                <w:color w:val="000000"/>
                <w:sz w:val="20"/>
                <w:lang w:bidi="ar"/>
              </w:rPr>
              <w:t>非流动资产</w:t>
            </w:r>
          </w:p>
        </w:tc>
        <w:tc>
          <w:tcPr>
            <w:tcW w:w="1275" w:type="dxa"/>
            <w:vAlign w:val="center"/>
          </w:tcPr>
          <w:p w14:paraId="563AA874">
            <w:pPr>
              <w:jc w:val="center"/>
              <w:rPr>
                <w:rFonts w:hint="default" w:ascii="宋体" w:hAnsi="宋体" w:eastAsia="宋体" w:cs="宋体"/>
                <w:bCs/>
                <w:sz w:val="20"/>
                <w:lang w:val="en-US" w:eastAsia="zh-CN"/>
              </w:rPr>
            </w:pPr>
            <w:r>
              <w:rPr>
                <w:rFonts w:hint="eastAsia" w:ascii="宋体" w:hAnsi="宋体" w:cs="宋体"/>
                <w:bCs/>
                <w:sz w:val="20"/>
                <w:lang w:val="en-US" w:eastAsia="zh-CN"/>
              </w:rPr>
              <w:t>2.30</w:t>
            </w:r>
          </w:p>
        </w:tc>
        <w:tc>
          <w:tcPr>
            <w:tcW w:w="1560" w:type="dxa"/>
            <w:vAlign w:val="center"/>
          </w:tcPr>
          <w:p w14:paraId="235D428F">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4BCF2850">
            <w:pPr>
              <w:jc w:val="center"/>
              <w:rPr>
                <w:rFonts w:hint="default" w:ascii="宋体" w:hAnsi="宋体" w:eastAsia="宋体" w:cs="宋体"/>
                <w:bCs/>
                <w:sz w:val="20"/>
                <w:lang w:val="en-US" w:eastAsia="zh-CN"/>
              </w:rPr>
            </w:pPr>
            <w:r>
              <w:rPr>
                <w:rFonts w:hint="eastAsia" w:ascii="宋体" w:hAnsi="宋体" w:cs="宋体"/>
                <w:bCs/>
                <w:sz w:val="20"/>
                <w:lang w:val="en-US" w:eastAsia="zh-CN"/>
              </w:rPr>
              <w:t>-2.30</w:t>
            </w:r>
          </w:p>
        </w:tc>
        <w:tc>
          <w:tcPr>
            <w:tcW w:w="1200" w:type="dxa"/>
            <w:vAlign w:val="center"/>
          </w:tcPr>
          <w:p w14:paraId="53841C8C">
            <w:pPr>
              <w:jc w:val="center"/>
              <w:rPr>
                <w:rFonts w:hint="default" w:ascii="宋体" w:hAnsi="宋体" w:eastAsia="宋体" w:cs="宋体"/>
                <w:bCs/>
                <w:sz w:val="20"/>
                <w:lang w:val="en-US" w:eastAsia="zh-CN"/>
              </w:rPr>
            </w:pPr>
            <w:r>
              <w:rPr>
                <w:rFonts w:hint="eastAsia" w:ascii="宋体" w:hAnsi="宋体" w:cs="宋体"/>
                <w:bCs/>
                <w:sz w:val="20"/>
                <w:lang w:val="en-US" w:eastAsia="zh-CN"/>
              </w:rPr>
              <w:t>-100</w:t>
            </w:r>
          </w:p>
        </w:tc>
      </w:tr>
      <w:tr w14:paraId="51B5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dxa"/>
            <w:vMerge w:val="continue"/>
            <w:vAlign w:val="center"/>
          </w:tcPr>
          <w:p w14:paraId="498E188A">
            <w:pPr>
              <w:jc w:val="center"/>
              <w:rPr>
                <w:rFonts w:hint="eastAsia" w:ascii="宋体" w:hAnsi="宋体" w:cs="宋体"/>
                <w:bCs/>
                <w:sz w:val="20"/>
              </w:rPr>
            </w:pPr>
          </w:p>
        </w:tc>
        <w:tc>
          <w:tcPr>
            <w:tcW w:w="1470" w:type="dxa"/>
            <w:vMerge w:val="continue"/>
            <w:vAlign w:val="center"/>
          </w:tcPr>
          <w:p w14:paraId="6B502FDC">
            <w:pPr>
              <w:jc w:val="center"/>
              <w:rPr>
                <w:rFonts w:hint="eastAsia" w:ascii="宋体" w:hAnsi="宋体" w:cs="宋体"/>
                <w:bCs/>
                <w:sz w:val="20"/>
              </w:rPr>
            </w:pPr>
          </w:p>
        </w:tc>
        <w:tc>
          <w:tcPr>
            <w:tcW w:w="1686" w:type="dxa"/>
            <w:vAlign w:val="center"/>
          </w:tcPr>
          <w:p w14:paraId="55BCE474">
            <w:pPr>
              <w:jc w:val="center"/>
              <w:rPr>
                <w:rFonts w:hint="eastAsia" w:ascii="宋体" w:hAnsi="宋体" w:cs="宋体"/>
                <w:bCs/>
                <w:sz w:val="20"/>
              </w:rPr>
            </w:pPr>
            <w:r>
              <w:rPr>
                <w:bCs/>
                <w:color w:val="000000"/>
                <w:sz w:val="20"/>
                <w:lang w:bidi="ar"/>
              </w:rPr>
              <w:t>其中：固定资产</w:t>
            </w:r>
          </w:p>
        </w:tc>
        <w:tc>
          <w:tcPr>
            <w:tcW w:w="1275" w:type="dxa"/>
            <w:vAlign w:val="center"/>
          </w:tcPr>
          <w:p w14:paraId="1712A785">
            <w:pPr>
              <w:jc w:val="center"/>
              <w:rPr>
                <w:rFonts w:hint="default" w:ascii="宋体" w:hAnsi="宋体" w:cs="宋体"/>
                <w:bCs/>
                <w:sz w:val="20"/>
                <w:lang w:val="en-US" w:eastAsia="zh-CN"/>
              </w:rPr>
            </w:pPr>
            <w:r>
              <w:rPr>
                <w:rFonts w:hint="eastAsia" w:ascii="宋体" w:hAnsi="宋体" w:cs="宋体"/>
                <w:bCs/>
                <w:sz w:val="20"/>
                <w:lang w:val="en-US" w:eastAsia="zh-CN"/>
              </w:rPr>
              <w:t>0.00</w:t>
            </w:r>
          </w:p>
        </w:tc>
        <w:tc>
          <w:tcPr>
            <w:tcW w:w="1560" w:type="dxa"/>
            <w:vAlign w:val="center"/>
          </w:tcPr>
          <w:p w14:paraId="55D787BB">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487EF5DD">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00" w:type="dxa"/>
            <w:vAlign w:val="center"/>
          </w:tcPr>
          <w:p w14:paraId="7E4900EE">
            <w:pPr>
              <w:jc w:val="center"/>
              <w:rPr>
                <w:rFonts w:hint="eastAsia" w:ascii="宋体" w:hAnsi="宋体" w:cs="宋体"/>
                <w:bCs/>
                <w:sz w:val="20"/>
              </w:rPr>
            </w:pPr>
          </w:p>
        </w:tc>
      </w:tr>
      <w:tr w14:paraId="2A62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94" w:type="dxa"/>
            <w:vMerge w:val="continue"/>
            <w:vAlign w:val="center"/>
          </w:tcPr>
          <w:p w14:paraId="26D3EDCB">
            <w:pPr>
              <w:jc w:val="center"/>
              <w:rPr>
                <w:rFonts w:hint="eastAsia" w:ascii="宋体" w:hAnsi="宋体" w:cs="宋体"/>
                <w:bCs/>
                <w:sz w:val="20"/>
              </w:rPr>
            </w:pPr>
          </w:p>
        </w:tc>
        <w:tc>
          <w:tcPr>
            <w:tcW w:w="1470" w:type="dxa"/>
            <w:vMerge w:val="continue"/>
            <w:vAlign w:val="center"/>
          </w:tcPr>
          <w:p w14:paraId="2B565898">
            <w:pPr>
              <w:jc w:val="center"/>
              <w:rPr>
                <w:rFonts w:hint="eastAsia" w:ascii="宋体" w:hAnsi="宋体" w:cs="宋体"/>
                <w:bCs/>
                <w:sz w:val="20"/>
              </w:rPr>
            </w:pPr>
          </w:p>
        </w:tc>
        <w:tc>
          <w:tcPr>
            <w:tcW w:w="1686" w:type="dxa"/>
            <w:vAlign w:val="center"/>
          </w:tcPr>
          <w:p w14:paraId="74DC8DBA">
            <w:pPr>
              <w:jc w:val="center"/>
              <w:rPr>
                <w:rFonts w:hint="eastAsia" w:ascii="宋体" w:hAnsi="宋体" w:cs="宋体"/>
                <w:bCs/>
                <w:sz w:val="20"/>
              </w:rPr>
            </w:pPr>
            <w:r>
              <w:rPr>
                <w:bCs/>
                <w:color w:val="000000"/>
                <w:sz w:val="20"/>
                <w:lang w:bidi="ar"/>
              </w:rPr>
              <w:t>资产总计</w:t>
            </w:r>
          </w:p>
        </w:tc>
        <w:tc>
          <w:tcPr>
            <w:tcW w:w="1275" w:type="dxa"/>
            <w:vAlign w:val="center"/>
          </w:tcPr>
          <w:p w14:paraId="4C36213D">
            <w:pPr>
              <w:jc w:val="center"/>
              <w:rPr>
                <w:rFonts w:hint="default" w:ascii="宋体" w:hAnsi="宋体" w:eastAsia="宋体" w:cs="宋体"/>
                <w:bCs/>
                <w:sz w:val="20"/>
                <w:lang w:val="en-US" w:eastAsia="zh-CN"/>
              </w:rPr>
            </w:pPr>
            <w:r>
              <w:rPr>
                <w:rFonts w:hint="eastAsia" w:ascii="宋体" w:hAnsi="宋体" w:cs="宋体"/>
                <w:bCs/>
                <w:sz w:val="20"/>
                <w:lang w:val="en-US" w:eastAsia="zh-CN"/>
              </w:rPr>
              <w:t>100.00</w:t>
            </w:r>
          </w:p>
        </w:tc>
        <w:tc>
          <w:tcPr>
            <w:tcW w:w="1560" w:type="dxa"/>
            <w:vAlign w:val="center"/>
          </w:tcPr>
          <w:p w14:paraId="53A606FD">
            <w:pPr>
              <w:jc w:val="center"/>
              <w:rPr>
                <w:rFonts w:hint="default" w:ascii="宋体" w:hAnsi="宋体" w:eastAsia="宋体" w:cs="宋体"/>
                <w:bCs/>
                <w:sz w:val="20"/>
                <w:lang w:val="en-US" w:eastAsia="zh-CN"/>
              </w:rPr>
            </w:pPr>
            <w:r>
              <w:rPr>
                <w:rFonts w:hint="eastAsia" w:ascii="宋体" w:hAnsi="宋体" w:cs="宋体"/>
                <w:bCs/>
                <w:sz w:val="20"/>
                <w:lang w:val="en-US" w:eastAsia="zh-CN"/>
              </w:rPr>
              <w:t>768.56</w:t>
            </w:r>
          </w:p>
        </w:tc>
        <w:tc>
          <w:tcPr>
            <w:tcW w:w="1275" w:type="dxa"/>
            <w:vAlign w:val="center"/>
          </w:tcPr>
          <w:p w14:paraId="2366EBFB">
            <w:pPr>
              <w:jc w:val="center"/>
              <w:rPr>
                <w:rFonts w:hint="default" w:ascii="宋体" w:hAnsi="宋体" w:eastAsia="宋体" w:cs="宋体"/>
                <w:bCs/>
                <w:sz w:val="20"/>
                <w:lang w:val="en-US" w:eastAsia="zh-CN"/>
              </w:rPr>
            </w:pPr>
            <w:r>
              <w:rPr>
                <w:rFonts w:hint="eastAsia" w:ascii="宋体" w:hAnsi="宋体" w:cs="宋体"/>
                <w:bCs/>
                <w:sz w:val="20"/>
                <w:lang w:val="en-US" w:eastAsia="zh-CN"/>
              </w:rPr>
              <w:t>668.56</w:t>
            </w:r>
          </w:p>
        </w:tc>
        <w:tc>
          <w:tcPr>
            <w:tcW w:w="1200" w:type="dxa"/>
            <w:vAlign w:val="center"/>
          </w:tcPr>
          <w:p w14:paraId="2A917C83">
            <w:pPr>
              <w:jc w:val="center"/>
              <w:rPr>
                <w:rFonts w:hint="default" w:ascii="宋体" w:hAnsi="宋体" w:eastAsia="宋体" w:cs="宋体"/>
                <w:bCs/>
                <w:sz w:val="20"/>
                <w:lang w:val="en-US" w:eastAsia="zh-CN"/>
              </w:rPr>
            </w:pPr>
            <w:r>
              <w:rPr>
                <w:rFonts w:hint="eastAsia" w:ascii="宋体" w:hAnsi="宋体" w:cs="宋体"/>
                <w:bCs/>
                <w:sz w:val="20"/>
                <w:lang w:val="en-US" w:eastAsia="zh-CN"/>
              </w:rPr>
              <w:t>668.56</w:t>
            </w:r>
          </w:p>
        </w:tc>
      </w:tr>
      <w:tr w14:paraId="3CC0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94" w:type="dxa"/>
            <w:vMerge w:val="continue"/>
            <w:vAlign w:val="center"/>
          </w:tcPr>
          <w:p w14:paraId="6DDB1DBC">
            <w:pPr>
              <w:jc w:val="center"/>
              <w:rPr>
                <w:rFonts w:hint="eastAsia" w:ascii="宋体" w:hAnsi="宋体" w:cs="宋体"/>
                <w:bCs/>
                <w:sz w:val="20"/>
              </w:rPr>
            </w:pPr>
          </w:p>
        </w:tc>
        <w:tc>
          <w:tcPr>
            <w:tcW w:w="1470" w:type="dxa"/>
            <w:vMerge w:val="continue"/>
            <w:vAlign w:val="center"/>
          </w:tcPr>
          <w:p w14:paraId="0A10AA6A">
            <w:pPr>
              <w:jc w:val="center"/>
              <w:rPr>
                <w:rFonts w:hint="eastAsia" w:ascii="宋体" w:hAnsi="宋体" w:cs="宋体"/>
                <w:bCs/>
                <w:sz w:val="20"/>
              </w:rPr>
            </w:pPr>
          </w:p>
        </w:tc>
        <w:tc>
          <w:tcPr>
            <w:tcW w:w="1686" w:type="dxa"/>
            <w:vAlign w:val="center"/>
          </w:tcPr>
          <w:p w14:paraId="0B1C9947">
            <w:pPr>
              <w:jc w:val="center"/>
              <w:rPr>
                <w:rFonts w:hint="eastAsia" w:ascii="宋体" w:hAnsi="宋体" w:cs="宋体"/>
                <w:bCs/>
                <w:sz w:val="20"/>
              </w:rPr>
            </w:pPr>
            <w:r>
              <w:rPr>
                <w:bCs/>
                <w:color w:val="000000"/>
                <w:sz w:val="20"/>
                <w:lang w:bidi="ar"/>
              </w:rPr>
              <w:t>流动负债</w:t>
            </w:r>
          </w:p>
        </w:tc>
        <w:tc>
          <w:tcPr>
            <w:tcW w:w="1275" w:type="dxa"/>
            <w:vAlign w:val="center"/>
          </w:tcPr>
          <w:p w14:paraId="6330E693">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560" w:type="dxa"/>
            <w:vAlign w:val="center"/>
          </w:tcPr>
          <w:p w14:paraId="660A6E91">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3940905C">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00" w:type="dxa"/>
            <w:vAlign w:val="center"/>
          </w:tcPr>
          <w:p w14:paraId="3C665463">
            <w:pPr>
              <w:jc w:val="center"/>
              <w:rPr>
                <w:rFonts w:hint="eastAsia" w:ascii="宋体" w:hAnsi="宋体" w:cs="宋体"/>
                <w:bCs/>
                <w:sz w:val="20"/>
              </w:rPr>
            </w:pPr>
          </w:p>
        </w:tc>
      </w:tr>
      <w:tr w14:paraId="0055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 w:type="dxa"/>
            <w:vMerge w:val="continue"/>
            <w:vAlign w:val="center"/>
          </w:tcPr>
          <w:p w14:paraId="2F7B3406">
            <w:pPr>
              <w:jc w:val="center"/>
              <w:rPr>
                <w:rFonts w:hint="eastAsia" w:ascii="宋体" w:hAnsi="宋体" w:cs="宋体"/>
                <w:bCs/>
                <w:sz w:val="20"/>
              </w:rPr>
            </w:pPr>
          </w:p>
        </w:tc>
        <w:tc>
          <w:tcPr>
            <w:tcW w:w="1470" w:type="dxa"/>
            <w:vMerge w:val="continue"/>
            <w:vAlign w:val="center"/>
          </w:tcPr>
          <w:p w14:paraId="248789A5">
            <w:pPr>
              <w:jc w:val="center"/>
              <w:rPr>
                <w:rFonts w:hint="eastAsia" w:ascii="宋体" w:hAnsi="宋体" w:cs="宋体"/>
                <w:bCs/>
                <w:sz w:val="20"/>
              </w:rPr>
            </w:pPr>
          </w:p>
        </w:tc>
        <w:tc>
          <w:tcPr>
            <w:tcW w:w="1686" w:type="dxa"/>
            <w:vAlign w:val="center"/>
          </w:tcPr>
          <w:p w14:paraId="45AE1DE2">
            <w:pPr>
              <w:jc w:val="center"/>
              <w:rPr>
                <w:rFonts w:hint="eastAsia" w:ascii="宋体" w:hAnsi="宋体" w:cs="宋体"/>
                <w:bCs/>
                <w:sz w:val="20"/>
              </w:rPr>
            </w:pPr>
            <w:r>
              <w:rPr>
                <w:bCs/>
                <w:color w:val="000000"/>
                <w:sz w:val="20"/>
                <w:lang w:bidi="ar"/>
              </w:rPr>
              <w:t>非流动负债</w:t>
            </w:r>
          </w:p>
        </w:tc>
        <w:tc>
          <w:tcPr>
            <w:tcW w:w="1275" w:type="dxa"/>
            <w:vAlign w:val="center"/>
          </w:tcPr>
          <w:p w14:paraId="43BD3FD1">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560" w:type="dxa"/>
            <w:vAlign w:val="center"/>
          </w:tcPr>
          <w:p w14:paraId="4E461129">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710D42BC">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00" w:type="dxa"/>
            <w:vAlign w:val="center"/>
          </w:tcPr>
          <w:p w14:paraId="7EB85302">
            <w:pPr>
              <w:jc w:val="center"/>
              <w:rPr>
                <w:rFonts w:hint="eastAsia" w:ascii="宋体" w:hAnsi="宋体" w:cs="宋体"/>
                <w:bCs/>
                <w:sz w:val="20"/>
              </w:rPr>
            </w:pPr>
          </w:p>
        </w:tc>
      </w:tr>
      <w:tr w14:paraId="520A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4" w:type="dxa"/>
            <w:vMerge w:val="continue"/>
            <w:vAlign w:val="center"/>
          </w:tcPr>
          <w:p w14:paraId="2A31A832">
            <w:pPr>
              <w:jc w:val="center"/>
              <w:rPr>
                <w:rFonts w:hint="eastAsia" w:ascii="宋体" w:hAnsi="宋体" w:cs="宋体"/>
                <w:bCs/>
                <w:sz w:val="20"/>
              </w:rPr>
            </w:pPr>
          </w:p>
        </w:tc>
        <w:tc>
          <w:tcPr>
            <w:tcW w:w="1470" w:type="dxa"/>
            <w:vMerge w:val="continue"/>
            <w:vAlign w:val="center"/>
          </w:tcPr>
          <w:p w14:paraId="4E0E5DE8">
            <w:pPr>
              <w:jc w:val="center"/>
              <w:rPr>
                <w:rFonts w:hint="eastAsia" w:ascii="宋体" w:hAnsi="宋体" w:cs="宋体"/>
                <w:bCs/>
                <w:sz w:val="20"/>
              </w:rPr>
            </w:pPr>
          </w:p>
        </w:tc>
        <w:tc>
          <w:tcPr>
            <w:tcW w:w="1686" w:type="dxa"/>
            <w:vAlign w:val="center"/>
          </w:tcPr>
          <w:p w14:paraId="76B66A33">
            <w:pPr>
              <w:jc w:val="center"/>
              <w:rPr>
                <w:rFonts w:hint="eastAsia" w:ascii="宋体" w:hAnsi="宋体" w:cs="宋体"/>
                <w:bCs/>
                <w:sz w:val="20"/>
              </w:rPr>
            </w:pPr>
            <w:r>
              <w:rPr>
                <w:bCs/>
                <w:color w:val="000000"/>
                <w:sz w:val="20"/>
                <w:lang w:bidi="ar"/>
              </w:rPr>
              <w:t>负债合计</w:t>
            </w:r>
          </w:p>
        </w:tc>
        <w:tc>
          <w:tcPr>
            <w:tcW w:w="1275" w:type="dxa"/>
            <w:vAlign w:val="center"/>
          </w:tcPr>
          <w:p w14:paraId="4F15199E">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560" w:type="dxa"/>
            <w:vAlign w:val="center"/>
          </w:tcPr>
          <w:p w14:paraId="77849C3C">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356AA1D5">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00" w:type="dxa"/>
            <w:vAlign w:val="center"/>
          </w:tcPr>
          <w:p w14:paraId="18355BA9">
            <w:pPr>
              <w:jc w:val="center"/>
              <w:rPr>
                <w:rFonts w:hint="eastAsia" w:ascii="宋体" w:hAnsi="宋体" w:cs="宋体"/>
                <w:bCs/>
                <w:sz w:val="20"/>
              </w:rPr>
            </w:pPr>
          </w:p>
        </w:tc>
      </w:tr>
      <w:tr w14:paraId="6A98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94" w:type="dxa"/>
            <w:vMerge w:val="continue"/>
            <w:vAlign w:val="center"/>
          </w:tcPr>
          <w:p w14:paraId="2CA5F029">
            <w:pPr>
              <w:jc w:val="center"/>
              <w:rPr>
                <w:rFonts w:hint="eastAsia" w:ascii="宋体" w:hAnsi="宋体" w:cs="宋体"/>
                <w:bCs/>
                <w:sz w:val="20"/>
              </w:rPr>
            </w:pPr>
            <w:bookmarkStart w:id="0" w:name="_GoBack" w:colFirst="4" w:colLast="6"/>
          </w:p>
        </w:tc>
        <w:tc>
          <w:tcPr>
            <w:tcW w:w="1470" w:type="dxa"/>
            <w:vMerge w:val="continue"/>
            <w:vAlign w:val="center"/>
          </w:tcPr>
          <w:p w14:paraId="74FB1029">
            <w:pPr>
              <w:jc w:val="center"/>
              <w:rPr>
                <w:rFonts w:hint="eastAsia" w:ascii="宋体" w:hAnsi="宋体" w:cs="宋体"/>
                <w:bCs/>
                <w:sz w:val="20"/>
              </w:rPr>
            </w:pPr>
          </w:p>
        </w:tc>
        <w:tc>
          <w:tcPr>
            <w:tcW w:w="1686" w:type="dxa"/>
            <w:vAlign w:val="center"/>
          </w:tcPr>
          <w:p w14:paraId="26A2FF40">
            <w:pPr>
              <w:jc w:val="center"/>
              <w:rPr>
                <w:rFonts w:hint="eastAsia" w:ascii="宋体" w:hAnsi="宋体" w:cs="宋体"/>
                <w:bCs/>
                <w:sz w:val="20"/>
              </w:rPr>
            </w:pPr>
            <w:r>
              <w:rPr>
                <w:bCs/>
                <w:color w:val="000000"/>
                <w:sz w:val="20"/>
                <w:lang w:bidi="ar"/>
              </w:rPr>
              <w:t>所有者权益</w:t>
            </w:r>
          </w:p>
        </w:tc>
        <w:tc>
          <w:tcPr>
            <w:tcW w:w="1275" w:type="dxa"/>
            <w:vAlign w:val="center"/>
          </w:tcPr>
          <w:p w14:paraId="5626F00C">
            <w:pPr>
              <w:jc w:val="center"/>
              <w:rPr>
                <w:rFonts w:hint="default" w:ascii="宋体" w:hAnsi="宋体" w:eastAsia="宋体" w:cs="宋体"/>
                <w:bCs/>
                <w:sz w:val="20"/>
                <w:lang w:val="en-US" w:eastAsia="zh-CN"/>
              </w:rPr>
            </w:pPr>
            <w:r>
              <w:rPr>
                <w:rFonts w:hint="eastAsia" w:ascii="宋体" w:hAnsi="宋体" w:cs="宋体"/>
                <w:bCs/>
                <w:sz w:val="20"/>
                <w:lang w:val="en-US" w:eastAsia="zh-CN"/>
              </w:rPr>
              <w:t>100.00</w:t>
            </w:r>
          </w:p>
        </w:tc>
        <w:tc>
          <w:tcPr>
            <w:tcW w:w="1560" w:type="dxa"/>
            <w:vAlign w:val="center"/>
          </w:tcPr>
          <w:p w14:paraId="2ED3E63C">
            <w:pPr>
              <w:jc w:val="center"/>
              <w:rPr>
                <w:rFonts w:hint="default" w:ascii="宋体" w:hAnsi="宋体" w:eastAsia="宋体" w:cs="宋体"/>
                <w:bCs/>
                <w:sz w:val="20"/>
                <w:lang w:val="en-US" w:eastAsia="zh-CN"/>
              </w:rPr>
            </w:pPr>
            <w:r>
              <w:rPr>
                <w:rFonts w:hint="eastAsia" w:ascii="宋体" w:hAnsi="宋体" w:cs="宋体"/>
                <w:bCs/>
                <w:sz w:val="20"/>
                <w:lang w:val="en-US" w:eastAsia="zh-CN"/>
              </w:rPr>
              <w:t>768.56</w:t>
            </w:r>
          </w:p>
        </w:tc>
        <w:tc>
          <w:tcPr>
            <w:tcW w:w="1275" w:type="dxa"/>
            <w:vAlign w:val="center"/>
          </w:tcPr>
          <w:p w14:paraId="12345887">
            <w:pPr>
              <w:jc w:val="center"/>
              <w:rPr>
                <w:rFonts w:hint="default" w:ascii="宋体" w:hAnsi="宋体" w:eastAsia="宋体" w:cs="宋体"/>
                <w:bCs/>
                <w:sz w:val="20"/>
                <w:lang w:val="en-US" w:eastAsia="zh-CN"/>
              </w:rPr>
            </w:pPr>
            <w:r>
              <w:rPr>
                <w:rFonts w:hint="eastAsia" w:ascii="宋体" w:hAnsi="宋体" w:cs="宋体"/>
                <w:bCs/>
                <w:sz w:val="20"/>
                <w:lang w:val="en-US" w:eastAsia="zh-CN"/>
              </w:rPr>
              <w:t>668.56</w:t>
            </w:r>
          </w:p>
        </w:tc>
        <w:tc>
          <w:tcPr>
            <w:tcW w:w="1200" w:type="dxa"/>
            <w:vAlign w:val="center"/>
          </w:tcPr>
          <w:p w14:paraId="5EA7E8BB">
            <w:pPr>
              <w:jc w:val="center"/>
              <w:rPr>
                <w:rFonts w:hint="default" w:ascii="宋体" w:hAnsi="宋体" w:eastAsia="宋体" w:cs="宋体"/>
                <w:bCs/>
                <w:sz w:val="20"/>
                <w:lang w:val="en-US" w:eastAsia="zh-CN"/>
              </w:rPr>
            </w:pPr>
            <w:r>
              <w:rPr>
                <w:rFonts w:hint="eastAsia" w:ascii="宋体" w:hAnsi="宋体" w:cs="宋体"/>
                <w:bCs/>
                <w:sz w:val="20"/>
                <w:lang w:val="en-US" w:eastAsia="zh-CN"/>
              </w:rPr>
              <w:t>668.56</w:t>
            </w:r>
          </w:p>
        </w:tc>
      </w:tr>
      <w:bookmarkEnd w:id="0"/>
      <w:tr w14:paraId="2CF7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94" w:type="dxa"/>
            <w:vAlign w:val="center"/>
          </w:tcPr>
          <w:p w14:paraId="5C1FB2DB">
            <w:pPr>
              <w:jc w:val="center"/>
              <w:rPr>
                <w:rFonts w:hint="eastAsia" w:ascii="宋体" w:hAnsi="宋体" w:cs="宋体"/>
                <w:bCs/>
                <w:sz w:val="20"/>
              </w:rPr>
            </w:pPr>
            <w:r>
              <w:rPr>
                <w:rFonts w:hint="eastAsia" w:ascii="宋体" w:hAnsi="宋体" w:cs="宋体"/>
                <w:bCs/>
                <w:sz w:val="20"/>
              </w:rPr>
              <w:t>7</w:t>
            </w:r>
          </w:p>
        </w:tc>
        <w:tc>
          <w:tcPr>
            <w:tcW w:w="1470" w:type="dxa"/>
            <w:vAlign w:val="center"/>
          </w:tcPr>
          <w:p w14:paraId="471D6BE0">
            <w:pPr>
              <w:jc w:val="center"/>
              <w:rPr>
                <w:rFonts w:hint="eastAsia" w:ascii="宋体" w:hAnsi="宋体" w:cs="宋体"/>
                <w:bCs/>
                <w:sz w:val="20"/>
              </w:rPr>
            </w:pPr>
            <w:r>
              <w:rPr>
                <w:rFonts w:hint="eastAsia" w:ascii="宋体" w:hAnsi="宋体" w:cs="宋体"/>
                <w:bCs/>
                <w:sz w:val="20"/>
              </w:rPr>
              <w:t>评估资料查阅</w:t>
            </w:r>
          </w:p>
          <w:p w14:paraId="4EC054EE">
            <w:pPr>
              <w:jc w:val="center"/>
              <w:rPr>
                <w:rFonts w:hint="eastAsia" w:ascii="宋体" w:hAnsi="宋体" w:cs="宋体"/>
                <w:bCs/>
                <w:sz w:val="20"/>
              </w:rPr>
            </w:pPr>
            <w:r>
              <w:rPr>
                <w:rFonts w:hint="eastAsia" w:ascii="宋体" w:hAnsi="宋体" w:cs="宋体"/>
                <w:bCs/>
                <w:sz w:val="20"/>
              </w:rPr>
              <w:t>方式</w:t>
            </w:r>
          </w:p>
        </w:tc>
        <w:tc>
          <w:tcPr>
            <w:tcW w:w="6996" w:type="dxa"/>
            <w:gridSpan w:val="5"/>
            <w:vAlign w:val="center"/>
          </w:tcPr>
          <w:p w14:paraId="4386FF29">
            <w:pPr>
              <w:jc w:val="left"/>
              <w:rPr>
                <w:rFonts w:hint="eastAsia" w:ascii="宋体" w:hAnsi="宋体" w:cs="宋体"/>
                <w:bCs/>
                <w:sz w:val="20"/>
              </w:rPr>
            </w:pPr>
            <w:r>
              <w:rPr>
                <w:rFonts w:hint="eastAsia" w:cs="宋体" w:asciiTheme="minorEastAsia" w:hAnsiTheme="minorEastAsia" w:eastAsiaTheme="minorEastAsia"/>
                <w:bCs/>
                <w:sz w:val="18"/>
                <w:szCs w:val="18"/>
              </w:rPr>
              <w:t>评估决策依据、评估报告初稿纸质及电子资料在中化地质矿山总局资产财务部。</w:t>
            </w:r>
          </w:p>
        </w:tc>
      </w:tr>
    </w:tbl>
    <w:p w14:paraId="66F412A6">
      <w:pPr>
        <w:spacing w:line="20" w:lineRule="exact"/>
      </w:pPr>
    </w:p>
    <w:p w14:paraId="1AD6D0DB"/>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A6067"/>
    <w:rsid w:val="2F7A6067"/>
    <w:rsid w:val="3566129F"/>
    <w:rsid w:val="37D76F93"/>
    <w:rsid w:val="415B3EDD"/>
    <w:rsid w:val="5514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1119</Words>
  <Characters>1336</Characters>
  <Lines>0</Lines>
  <Paragraphs>0</Paragraphs>
  <TotalTime>7</TotalTime>
  <ScaleCrop>false</ScaleCrop>
  <LinksUpToDate>false</LinksUpToDate>
  <CharactersWithSpaces>1341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2025-09-18T02:14:00Z</dcterms:created>
  <dc:creator>23334</dc:creator>
  <cp:lastModifiedBy>赵俊俊</cp:lastModifiedBy>
  <cp:lastPrinted>2025-09-18T08:29:00Z</cp:lastPrinted>
  <dcterms:modified xsi:type="dcterms:W3CDTF">2025-10-11T02:27:53Z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3C050FE1BEEB406AB389BE00635702BF_13</vt:lpwstr>
  </property>
  <property fmtid="{D5CDD505-2E9C-101B-9397-08002B2CF9AE}" pid="4" name="KSOTemplateDocerSaveRecord">
    <vt:lpwstr>eyJoZGlkIjoiMWU0Zjk4NTBlZDBlOTE2OTZiZTk0MzQwMThlZmE3MTkiLCJ1c2VySWQiOiIxNTg4NjAwMTYzIn0=</vt:lpwstr>
  </property>
</Properties>
</file>